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2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60" w:line="276" w:lineRule="auto"/>
        <w:jc w:val="center"/>
      </w:pPr>
      <w:r>
        <w:rPr>
          <w:rFonts w:ascii="Arial" w:hAnsi="Arial" w:cs="Arial"/>
          <w:b/>
          <w:color w:val="091E32"/>
          <w:sz w:val="40"/>
          <w:szCs w:val="40"/>
        </w:rPr>
        <w:t xml:space="preserve">Finanzteil zum Businessplan</w:t>
      </w:r>
    </w:p>
    <w:p>
      <w:pPr>
        <w:spacing w:before="0" w:after="40" w:line="276" w:lineRule="auto"/>
        <w:jc w:val="center"/>
      </w:pPr>
      <w:r>
        <w:rPr>
          <w:rFonts w:ascii="Arial" w:hAnsi="Arial" w:cs="Arial"/>
          <w:b/>
          <w:color w:val="1A1A1A"/>
          <w:sz w:val="26"/>
          <w:szCs w:val="26"/>
        </w:rPr>
        <w:t xml:space="preserve">Schreinerei Holzmann GmbH</w:t>
      </w:r>
    </w:p>
    <w:p>
      <w:pPr>
        <w:spacing w:before="0" w:after="400" w:line="276" w:lineRule="auto"/>
        <w:jc w:val="center"/>
      </w:pPr>
      <w:r>
        <w:rPr>
          <w:rFonts w:ascii="Arial" w:hAnsi="Arial" w:cs="Arial"/>
          <w:color w:val="5A6672"/>
          <w:sz w:val="20"/>
          <w:szCs w:val="20"/>
        </w:rPr>
        <w:t xml:space="preserve">Erstellt aus dem Planvik-Finanzplan</w:t>
      </w:r>
    </w:p>
    <w:p>
      <w:pPr>
        <w:spacing w:before="0" w:after="260" w:line="276" w:lineRule="auto"/>
        <w:jc w:val="both"/>
      </w:pPr>
      <w:r>
        <w:rPr>
          <w:rFonts w:ascii="Arial" w:hAnsi="Arial" w:cs="Arial"/>
          <w:color w:val="33628F"/>
          <w:sz w:val="18"/>
          <w:szCs w:val="18"/>
        </w:rPr>
        <w:t xml:space="preserve">Hinweis: Die Zahlen stammen aus dem beigefügten Excel-Finanzmodell. Blau markierte Abschnitte in eckigen Klammern ersetzt du durch deine eigene Begründung und löschst die Klammern.</w:t>
      </w:r>
    </w:p>
    <w:p>
      <w:pPr>
        <w:pStyle w:val="Heading1"/>
      </w:pPr>
      <w:r>
        <w:t xml:space="preserve">7. Kapitalbedarf und Finanzierung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33628F"/>
          <w:sz w:val="22"/>
          <w:szCs w:val="22"/>
        </w:rPr>
        <w:t xml:space="preserve">Gegenstand des Vorhabens: Anschaffung eines CNC-Bearbeitungszentrums und Ausbau des Gewerbekundengeschäfts.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Der Finanzierungsbedarf beträgt insgesamt 220.000 €. Davon werden 180.000 € über Fremdkapital finanziert; 40.000 € werden als Eigenmittel eingebracht.</w:t>
      </w:r>
    </w:p>
    <w:p>
      <w:pPr>
        <w:keepNext/>
        <w:spacing w:before="220" w:after="90" w:line="276" w:lineRule="auto"/>
      </w:pPr>
      <w:r>
        <w:rPr>
          <w:rFonts w:ascii="Arial" w:hAnsi="Arial" w:cs="Arial"/>
          <w:b/>
          <w:color w:val="091E32"/>
          <w:sz w:val="24"/>
          <w:szCs w:val="24"/>
        </w:rPr>
        <w:t xml:space="preserve">Mittelverwendung</w:t>
      </w:r>
    </w:p>
    <w:p>
      <w:pPr>
        <w:keepNext/>
        <w:spacing w:after="60"/>
      </w:pPr>
    </w:p>
    <w:tbl>
      <w:tblPr>
        <w:tblW w:w="8600" w:type="dxa"/>
        <w:tblBorders>
          <w:top w:val="single" w:sz="4" w:space="0" w:color="E4E8EC"/>
          <w:left w:val="single" w:sz="4" w:space="0" w:color="E4E8EC"/>
          <w:bottom w:val="single" w:sz="4" w:space="0" w:color="E4E8EC"/>
          <w:right w:val="single" w:sz="4" w:space="0" w:color="E4E8EC"/>
          <w:insideH w:val="single" w:sz="4" w:space="0" w:color="E4E8EC"/>
          <w:insideV w:val="single" w:sz="4" w:space="0" w:color="E4E8EC"/>
        </w:tblBorders>
        <w:tblCellMar>
          <w:left w:w="100" w:type="dxa"/>
          <w:right w:w="100" w:type="dxa"/>
        </w:tblCellMar>
      </w:tblPr>
      <w:tblGrid>
        <w:gridCol w:w="6200"/>
        <w:gridCol w:w="2400"/>
      </w:tblGrid>
      <w:tr>
        <w:trPr>
          <w:cantSplit/>
          <w:tblHeader/>
        </w:trPr>
        <w:tc>
          <w:tcPr>
            <w:tcW w:w="62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Position</w:t>
            </w:r>
          </w:p>
        </w:tc>
        <w:tc>
          <w:tcPr>
            <w:tcW w:w="24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Betrag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CNC-Bearbeitungszentrum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85.000 €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Absauganlage und Werkstatteinrichtung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22.000 €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Investitionen gesamt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107.000 €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Betriebsmittel und Anlaufphase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113.000 €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Kapitalbedarf gesamt</w:t>
            </w:r>
          </w:p>
        </w:tc>
        <w:tc>
          <w:tcPr>
            <w:tcW w:w="24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220.000 €</w:t>
            </w:r>
          </w:p>
        </w:tc>
      </w:tr>
    </w:tbl>
    <w:p>
      <w:pPr>
        <w:spacing w:after="200"/>
      </w:pPr>
    </w:p>
    <w:p>
      <w:pPr>
        <w:spacing w:before="100" w:after="200" w:line="276" w:lineRule="auto"/>
        <w:jc w:val="both"/>
      </w:pPr>
      <w:r>
        <w:rPr>
          <w:rFonts w:ascii="Arial" w:hAnsi="Arial" w:cs="Arial"/>
          <w:color w:val="33628F"/>
          <w:sz w:val="20"/>
          <w:szCs w:val="20"/>
        </w:rPr>
        <w:t xml:space="preserve">[Optional: Erläutere die zwei, drei größten Investitionspositionen in je einem Satz.]</w:t>
      </w:r>
    </w:p>
    <w:p>
      <w:pPr>
        <w:keepNext/>
        <w:spacing w:before="220" w:after="90" w:line="276" w:lineRule="auto"/>
      </w:pPr>
      <w:r>
        <w:rPr>
          <w:rFonts w:ascii="Arial" w:hAnsi="Arial" w:cs="Arial"/>
          <w:b/>
          <w:color w:val="091E32"/>
          <w:sz w:val="24"/>
          <w:szCs w:val="24"/>
        </w:rPr>
        <w:t xml:space="preserve">Finanzierungsstruktur</w:t>
      </w:r>
    </w:p>
    <w:p>
      <w:pPr>
        <w:keepNext/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Die Finanzierung des Vorhabens setzt sich aus den folgenden neuen Bausteinen zusammen:</w:t>
      </w:r>
    </w:p>
    <w:p>
      <w:pPr>
        <w:keepNext/>
        <w:spacing w:after="60"/>
      </w:pPr>
    </w:p>
    <w:tbl>
      <w:tblPr>
        <w:tblW w:w="8900" w:type="dxa"/>
        <w:tblBorders>
          <w:top w:val="single" w:sz="4" w:space="0" w:color="E4E8EC"/>
          <w:left w:val="single" w:sz="4" w:space="0" w:color="E4E8EC"/>
          <w:bottom w:val="single" w:sz="4" w:space="0" w:color="E4E8EC"/>
          <w:right w:val="single" w:sz="4" w:space="0" w:color="E4E8EC"/>
          <w:insideH w:val="single" w:sz="4" w:space="0" w:color="E4E8EC"/>
          <w:insideV w:val="single" w:sz="4" w:space="0" w:color="E4E8EC"/>
        </w:tblBorders>
        <w:tblCellMar>
          <w:left w:w="100" w:type="dxa"/>
          <w:right w:w="100" w:type="dxa"/>
        </w:tblCellMar>
      </w:tblPr>
      <w:tblGrid>
        <w:gridCol w:w="2900"/>
        <w:gridCol w:w="1600"/>
        <w:gridCol w:w="1100"/>
        <w:gridCol w:w="1900"/>
        <w:gridCol w:w="1400"/>
      </w:tblGrid>
      <w:tr>
        <w:trPr>
          <w:cantSplit/>
          <w:tblHeader/>
        </w:trPr>
        <w:tc>
          <w:tcPr>
            <w:tcW w:w="29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Baustein</w:t>
            </w:r>
          </w:p>
        </w:tc>
        <w:tc>
          <w:tcPr>
            <w:tcW w:w="16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Betrag</w:t>
            </w:r>
          </w:p>
        </w:tc>
        <w:tc>
          <w:tcPr>
            <w:tcW w:w="11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Zins p.a.</w:t>
            </w:r>
          </w:p>
        </w:tc>
        <w:tc>
          <w:tcPr>
            <w:tcW w:w="19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Laufzeit</w:t>
            </w:r>
          </w:p>
        </w:tc>
        <w:tc>
          <w:tcPr>
            <w:tcW w:w="14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Tilgung</w:t>
            </w:r>
          </w:p>
        </w:tc>
      </w:tr>
      <w:tr>
        <w:trPr>
          <w:cantSplit/>
        </w:trPr>
        <w:tc>
          <w:tcPr>
            <w:tcW w:w="2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Bankdarlehen</w:t>
            </w:r>
          </w:p>
        </w:tc>
        <w:tc>
          <w:tcPr>
            <w:tcW w:w="16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180.000 €</w:t>
            </w:r>
          </w:p>
        </w:tc>
        <w:tc>
          <w:tcPr>
            <w:tcW w:w="11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5,9 %</w:t>
            </w:r>
          </w:p>
        </w:tc>
        <w:tc>
          <w:tcPr>
            <w:tcW w:w="19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6 Jahre (bis 03/2032)</w:t>
            </w:r>
          </w:p>
        </w:tc>
        <w:tc>
          <w:tcPr>
            <w:tcW w:w="1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Annuität</w:t>
            </w:r>
          </w:p>
        </w:tc>
      </w:tr>
      <w:tr>
        <w:trPr>
          <w:cantSplit/>
        </w:trPr>
        <w:tc>
          <w:tcPr>
            <w:tcW w:w="2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Eigenmittel</w:t>
            </w:r>
          </w:p>
        </w:tc>
        <w:tc>
          <w:tcPr>
            <w:tcW w:w="16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40.000 €</w:t>
            </w:r>
          </w:p>
        </w:tc>
        <w:tc>
          <w:tcPr>
            <w:tcW w:w="11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/>
            </w:r>
          </w:p>
        </w:tc>
        <w:tc>
          <w:tcPr>
            <w:tcW w:w="19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/>
            </w:r>
          </w:p>
        </w:tc>
        <w:tc>
          <w:tcPr>
            <w:tcW w:w="1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w="2900" w:type="dxa"/>
            <w:vAlign w:val="center"/>
          </w:tcPr>
          <w:p>
            <w:pPr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Summe</w:t>
            </w:r>
          </w:p>
        </w:tc>
        <w:tc>
          <w:tcPr>
            <w:tcW w:w="16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220.000 €</w:t>
            </w:r>
          </w:p>
        </w:tc>
        <w:tc>
          <w:tcPr>
            <w:tcW w:w="11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/>
            </w:r>
          </w:p>
        </w:tc>
        <w:tc>
          <w:tcPr>
            <w:tcW w:w="19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/>
            </w:r>
          </w:p>
        </w:tc>
        <w:tc>
          <w:tcPr>
            <w:tcW w:w="14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/>
            </w:r>
          </w:p>
        </w:tc>
      </w:tr>
    </w:tbl>
    <w:p>
      <w:pPr>
        <w:spacing w:after="200"/>
      </w:pPr>
    </w:p>
    <w:p>
      <w:pPr>
        <w:spacing w:before="100" w:after="200" w:line="276" w:lineRule="auto"/>
        <w:jc w:val="both"/>
      </w:pPr>
      <w:r>
        <w:rPr>
          <w:rFonts w:ascii="Arial" w:hAnsi="Arial" w:cs="Arial"/>
          <w:color w:val="33628F"/>
          <w:sz w:val="20"/>
          <w:szCs w:val="20"/>
        </w:rPr>
        <w:t xml:space="preserve">[Optional: Begründe kurz Laufzeiten und Tilgungsstruktur, z. B. Laufzeit folgt der Nutzungsdauer der Investition.]</w:t>
      </w:r>
    </w:p>
    <w:p>
      <w:pPr>
        <w:pStyle w:val="Heading1"/>
      </w:pPr>
      <w:r>
        <w:t xml:space="preserve">8. Finanzplanung</w:t>
      </w:r>
    </w:p>
    <w:p>
      <w:pPr>
        <w:keepNext/>
        <w:spacing w:before="220" w:after="90" w:line="276" w:lineRule="auto"/>
      </w:pPr>
      <w:r>
        <w:rPr>
          <w:rFonts w:ascii="Arial" w:hAnsi="Arial" w:cs="Arial"/>
          <w:b/>
          <w:color w:val="091E32"/>
          <w:sz w:val="24"/>
          <w:szCs w:val="24"/>
        </w:rPr>
        <w:t xml:space="preserve">Rentabilitätsvorschau (Plan-GuV)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Die Umsatzplanung ist von unten hergeleitet: je Umsatzträger aus Preis und Menge, mit einzeln hinterlegten Wachstumsraten. Die größten Umsatzträger im ersten Planjahr sind Möbelbau nach Maß (Privatkunden) mit 216.000 € und Innenausbau für Gewerbekunden mit 68.400 €.</w:t>
      </w:r>
    </w:p>
    <w:p>
      <w:pPr>
        <w:keepNext/>
        <w:spacing w:after="60"/>
      </w:pPr>
    </w:p>
    <w:tbl>
      <w:tblPr>
        <w:tblW w:w="9300" w:type="dxa"/>
        <w:tblBorders>
          <w:top w:val="single" w:sz="4" w:space="0" w:color="E4E8EC"/>
          <w:left w:val="single" w:sz="4" w:space="0" w:color="E4E8EC"/>
          <w:bottom w:val="single" w:sz="4" w:space="0" w:color="E4E8EC"/>
          <w:right w:val="single" w:sz="4" w:space="0" w:color="E4E8EC"/>
          <w:insideH w:val="single" w:sz="4" w:space="0" w:color="E4E8EC"/>
          <w:insideV w:val="single" w:sz="4" w:space="0" w:color="E4E8EC"/>
        </w:tblBorders>
        <w:tblCellMar>
          <w:left w:w="100" w:type="dxa"/>
          <w:right w:w="100" w:type="dxa"/>
        </w:tblCellMar>
      </w:tblPr>
      <w:tblGrid>
        <w:gridCol w:w="3900"/>
        <w:gridCol w:w="1800"/>
        <w:gridCol w:w="1800"/>
        <w:gridCol w:w="1800"/>
      </w:tblGrid>
      <w:tr>
        <w:trPr>
          <w:cantSplit/>
          <w:tblHeader/>
        </w:trPr>
        <w:tc>
          <w:tcPr>
            <w:tcW w:w="39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Position</w:t>
            </w:r>
          </w:p>
        </w:tc>
        <w:tc>
          <w:tcPr>
            <w:tcW w:w="18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Plan 2026</w:t>
            </w:r>
          </w:p>
        </w:tc>
        <w:tc>
          <w:tcPr>
            <w:tcW w:w="18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Plan 2027</w:t>
            </w:r>
          </w:p>
        </w:tc>
        <w:tc>
          <w:tcPr>
            <w:tcW w:w="18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Plan 2028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Umsatzerlöse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284.400 €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362.880 €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463.536 €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Sonstige betriebliche Erträge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12.000 €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0 €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0 €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Materialaufwand / Wareneinsatz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-108.072 €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-137.894 €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-176.144 €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Personalaufwand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-112.240 €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-161.772 €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-165.008 €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Sonstige betriebliche Aufwendungen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-79.400 €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-76.158 €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-77.965 €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EBITDA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-3.312 €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-12.944 €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44.419 €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Abschreibungen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-6.375 €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-11.381 €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-11.643 €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Zinsaufwand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-7.591 €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-8.768 €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-7.135 €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Steuern (30 %)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0 €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0 €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-7.692 €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Jahresüberschuss</w:t>
            </w:r>
          </w:p>
        </w:tc>
        <w:tc>
          <w:tcPr>
            <w:tcW w:w="18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-17.278 €</w:t>
            </w:r>
          </w:p>
        </w:tc>
        <w:tc>
          <w:tcPr>
            <w:tcW w:w="18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-33.093 €</w:t>
            </w:r>
          </w:p>
        </w:tc>
        <w:tc>
          <w:tcPr>
            <w:tcW w:w="18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17.949 €</w:t>
            </w:r>
          </w:p>
        </w:tc>
      </w:tr>
    </w:tbl>
    <w:p>
      <w:pPr>
        <w:spacing w:after="200"/>
      </w:pP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Die Planung erreicht im Jahr 2028 ein positives Jahresergebnis; das Jahr 2026 ist als Anlaufphase mit einem negativen Ergebnis geplant.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33628F"/>
          <w:sz w:val="22"/>
          <w:szCs w:val="22"/>
        </w:rPr>
        <w:t xml:space="preserve">Hinter dem geplanten Wachstum stehen folgende Maßnahmen: Zusammenarbeit mit zwei regionalen Architekturbüros und Ausbau der Ausstellungsfläche.</w:t>
      </w:r>
    </w:p>
    <w:p>
      <w:pPr>
        <w:keepNext/>
        <w:spacing w:before="220" w:after="90" w:line="276" w:lineRule="auto"/>
      </w:pPr>
      <w:r>
        <w:rPr>
          <w:rFonts w:ascii="Arial" w:hAnsi="Arial" w:cs="Arial"/>
          <w:b/>
          <w:color w:val="091E32"/>
          <w:sz w:val="24"/>
          <w:szCs w:val="24"/>
        </w:rPr>
        <w:t xml:space="preserve">Liquidität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Der Liquiditätsplan liegt im beigefügten Finanzmodell für das erste Planjahr auf Monatsbasis vor (Blatt Kapitalflussrechnung), einschließlich Umsatzsteuer, Zahlungszielen (30 Tage Forderungslaufzeit, 25 Tage Lieferantenziel) und sämtlicher Tilgungen.</w:t>
      </w:r>
    </w:p>
    <w:p>
      <w:pPr>
        <w:spacing w:before="100" w:after="200" w:line="276" w:lineRule="auto"/>
        <w:jc w:val="both"/>
      </w:pPr>
      <w:r>
        <w:rPr>
          <w:rFonts w:ascii="Arial" w:hAnsi="Arial" w:cs="Arial"/>
          <w:color w:val="33628F"/>
          <w:sz w:val="20"/>
          <w:szCs w:val="20"/>
        </w:rPr>
        <w:t xml:space="preserve">[Optional: Nenne hier deine Liquiditätsreserve oder eine bestehende Kontokorrentlinie.]</w:t>
      </w:r>
    </w:p>
    <w:p>
      <w:pPr>
        <w:keepNext/>
        <w:spacing w:before="220" w:after="90" w:line="276" w:lineRule="auto"/>
      </w:pPr>
      <w:r>
        <w:rPr>
          <w:rFonts w:ascii="Arial" w:hAnsi="Arial" w:cs="Arial"/>
          <w:b/>
          <w:color w:val="091E32"/>
          <w:sz w:val="24"/>
          <w:szCs w:val="24"/>
        </w:rPr>
        <w:t xml:space="preserve">Kapitaldienstfähigkeit</w:t>
      </w:r>
    </w:p>
    <w:p>
      <w:pPr>
        <w:keepNext/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Der Kapitaldienst umfasst Zins und Tilgung aller bestehenden und neuen Finanzierungen. Ihm steht der Cashflow vor Kapitaldienst (EBITDA abzüglich Steuern) gegenüber:</w:t>
      </w:r>
    </w:p>
    <w:p>
      <w:pPr>
        <w:keepNext/>
        <w:spacing w:after="60"/>
      </w:pPr>
    </w:p>
    <w:tbl>
      <w:tblPr>
        <w:tblW w:w="9300" w:type="dxa"/>
        <w:tblBorders>
          <w:top w:val="single" w:sz="4" w:space="0" w:color="E4E8EC"/>
          <w:left w:val="single" w:sz="4" w:space="0" w:color="E4E8EC"/>
          <w:bottom w:val="single" w:sz="4" w:space="0" w:color="E4E8EC"/>
          <w:right w:val="single" w:sz="4" w:space="0" w:color="E4E8EC"/>
          <w:insideH w:val="single" w:sz="4" w:space="0" w:color="E4E8EC"/>
          <w:insideV w:val="single" w:sz="4" w:space="0" w:color="E4E8EC"/>
        </w:tblBorders>
        <w:tblCellMar>
          <w:left w:w="100" w:type="dxa"/>
          <w:right w:w="100" w:type="dxa"/>
        </w:tblCellMar>
      </w:tblPr>
      <w:tblGrid>
        <w:gridCol w:w="3900"/>
        <w:gridCol w:w="1800"/>
        <w:gridCol w:w="1800"/>
        <w:gridCol w:w="1800"/>
      </w:tblGrid>
      <w:tr>
        <w:trPr>
          <w:cantSplit/>
          <w:tblHeader/>
        </w:trPr>
        <w:tc>
          <w:tcPr>
            <w:tcW w:w="39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Position</w:t>
            </w:r>
          </w:p>
        </w:tc>
        <w:tc>
          <w:tcPr>
            <w:tcW w:w="18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Plan 2026</w:t>
            </w:r>
          </w:p>
        </w:tc>
        <w:tc>
          <w:tcPr>
            <w:tcW w:w="18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Plan 2027</w:t>
            </w:r>
          </w:p>
        </w:tc>
        <w:tc>
          <w:tcPr>
            <w:tcW w:w="18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Plan 2028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Cashflow vor Kapitaldienst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-3.312 €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-12.944 €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36.727 €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Zinsaufwand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7.591 €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8.768 €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7.135 €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Tilgung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19.181 €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26.928 €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28.560 €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Kapitaldienst gesamt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26.772 €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35.696 €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35.696 €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DSCR (Kapitaldienstdeckung)</w:t>
            </w:r>
          </w:p>
        </w:tc>
        <w:tc>
          <w:tcPr>
            <w:tcW w:w="18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-0,1</w:t>
            </w:r>
          </w:p>
        </w:tc>
        <w:tc>
          <w:tcPr>
            <w:tcW w:w="18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-0,4</w:t>
            </w:r>
          </w:p>
        </w:tc>
        <w:tc>
          <w:tcPr>
            <w:tcW w:w="18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1,0</w:t>
            </w:r>
          </w:p>
        </w:tc>
      </w:tr>
    </w:tbl>
    <w:p>
      <w:pPr>
        <w:spacing w:after="200"/>
      </w:pP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Die Kapitaldienstdeckung liegt in der Planperiode zwischen -0,4 (2027) und 1,0. In Jahren mit einer Deckung unter 1,0 wird der Kapitaldienst nicht vollständig aus dem laufenden Cashflow bedient.</w:t>
      </w:r>
    </w:p>
    <w:p>
      <w:pPr>
        <w:spacing w:before="100" w:after="200" w:line="276" w:lineRule="auto"/>
        <w:jc w:val="both"/>
      </w:pPr>
      <w:r>
        <w:rPr>
          <w:rFonts w:ascii="Arial" w:hAnsi="Arial" w:cs="Arial"/>
          <w:color w:val="33628F"/>
          <w:sz w:val="20"/>
          <w:szCs w:val="20"/>
        </w:rPr>
        <w:t xml:space="preserve">[Erläutere hier, wie der Kapitaldienst in diesen Jahren zusätzlich gedeckt wird (Liquiditätsreserve, Eigenmittel, angepasste Tilgungsstruktur), oder passe die Planung an, bevor du den Plan einreichst.]</w:t>
      </w:r>
    </w:p>
    <w:sectPr>
      <w:footerReference w:type="default" r:id="rId3"/>
      <w:pgSz w:w="11906" w:h="16838"/>
      <w:pgMar w:top="1134" w:right="1134" w:bottom="1134" w:left="1417" w:header="708" w:footer="450" w:gutter="0"/>
    </w:sectPr>
  </w:body>
</w:document>
</file>

<file path=word/footer2.xml><?xml version="1.0" encoding="utf-8"?>
<w:ftr xmlns:w="http://schemas.openxmlformats.org/wordprocessingml/2006/main">
  <w:p>
    <w:pPr>
      <w:jc w:val="center"/>
      <w:spacing w:after="0"/>
    </w:pPr>
    <w:r>
      <w:rPr>
        <w:rFonts w:ascii="Arial" w:hAnsi="Arial" w:cs="Arial"/>
        <w:color w:val="5A6672"/>
        <w:sz w:val="18"/>
        <w:szCs w:val="18"/>
      </w:rPr>
      <w:t xml:space="preserve">Finanzteil Schreinerei Holzmann GmbH · erstellt mit Planvik · Seite </w:t>
    </w:r>
    <w:r>
      <w:rPr>
        <w:rFonts w:ascii="Arial" w:hAnsi="Arial" w:cs="Arial"/>
        <w:color w:val="5A6672"/>
        <w:sz w:val="18"/>
        <w:szCs w:val="18"/>
      </w:rPr>
      <w:fldChar w:fldCharType="begin"/>
    </w:r>
    <w:r>
      <w:rPr>
        <w:rFonts w:ascii="Arial" w:hAnsi="Arial" w:cs="Arial"/>
        <w:color w:val="5A6672"/>
        <w:sz w:val="18"/>
        <w:szCs w:val="18"/>
      </w:rPr>
      <w:instrText xml:space="preserve"> PAGE </w:instrText>
    </w:r>
    <w:r>
      <w:rPr>
        <w:rFonts w:ascii="Arial" w:hAnsi="Arial" w:cs="Arial"/>
        <w:color w:val="5A6672"/>
        <w:sz w:val="18"/>
        <w:szCs w:val="18"/>
      </w:rPr>
      <w:fldChar w:fldCharType="separate"/>
    </w:r>
    <w:r>
      <w:rPr>
        <w:rFonts w:ascii="Arial" w:hAnsi="Arial" w:cs="Arial"/>
        <w:color w:val="5A6672"/>
        <w:sz w:val="18"/>
        <w:szCs w:val="18"/>
      </w:rPr>
      <w:t>1</w:t>
    </w:r>
    <w:r>
      <w:rPr>
        <w:rFonts w:ascii="Arial" w:hAnsi="Arial" w:cs="Arial"/>
        <w:color w:val="5A6672"/>
        <w:sz w:val="18"/>
        <w:szCs w:val="18"/>
      </w:rPr>
      <w:fldChar w:fldCharType="end"/>
    </w:r>
  </w:p>
</w:ftr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color w:val="1A1A1A"/>
        <w:sz w:val="22"/>
        <w:szCs w:val="22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</w:style>
  <w:style w:type="paragraph" w:styleId="Heading1">
    <w:name w:val="heading 1"/>
    <w:basedOn w:val="Normal"/>
    <w:pPr>
      <w:keepNext/>
      <w:spacing w:before="360" w:after="160"/>
      <w:outlineLvl w:val="0"/>
    </w:pPr>
    <w:rPr>
      <w:rFonts w:ascii="Arial" w:hAnsi="Arial" w:cs="Arial"/>
      <w:b/>
      <w:color w:val="091E32"/>
      <w:sz w:val="28"/>
      <w:szCs w:val="2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3" Type="http://schemas.openxmlformats.org/officeDocument/2006/relationships/footer" Target="footer2.xml"/></Relationships>
</file>