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2.xml" ContentType="application/vnd.openxmlformats-officedocument.wordprocessingml.footer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0" w:after="60" w:line="276" w:lineRule="auto"/>
        <w:jc w:val="center"/>
      </w:pPr>
      <w:r>
        <w:rPr>
          <w:rFonts w:ascii="Arial" w:hAnsi="Arial" w:cs="Arial"/>
          <w:b/>
          <w:color w:val="091E32"/>
          <w:sz w:val="40"/>
          <w:szCs w:val="40"/>
        </w:rPr>
        <w:t xml:space="preserve">Finanzteil zum Businessplan</w:t>
      </w:r>
    </w:p>
    <w:p>
      <w:pPr>
        <w:spacing w:before="0" w:after="40" w:line="276" w:lineRule="auto"/>
        <w:jc w:val="center"/>
      </w:pPr>
      <w:r>
        <w:rPr>
          <w:rFonts w:ascii="Arial" w:hAnsi="Arial" w:cs="Arial"/>
          <w:b/>
          <w:color w:val="1A1A1A"/>
          <w:sz w:val="26"/>
          <w:szCs w:val="26"/>
        </w:rPr>
        <w:t xml:space="preserve">Bergwald Gastro GmbH</w:t>
      </w:r>
    </w:p>
    <w:p>
      <w:pPr>
        <w:spacing w:before="0" w:after="400" w:line="276" w:lineRule="auto"/>
        <w:jc w:val="center"/>
      </w:pPr>
      <w:r>
        <w:rPr>
          <w:rFonts w:ascii="Arial" w:hAnsi="Arial" w:cs="Arial"/>
          <w:color w:val="5A6672"/>
          <w:sz w:val="20"/>
          <w:szCs w:val="20"/>
        </w:rPr>
        <w:t xml:space="preserve">Erstellt aus dem Planvik-Finanzplan</w:t>
      </w:r>
    </w:p>
    <w:p>
      <w:pPr>
        <w:spacing w:before="0" w:after="260" w:line="276" w:lineRule="auto"/>
        <w:jc w:val="both"/>
      </w:pPr>
      <w:r>
        <w:rPr>
          <w:rFonts w:ascii="Arial" w:hAnsi="Arial" w:cs="Arial"/>
          <w:color w:val="33628F"/>
          <w:sz w:val="18"/>
          <w:szCs w:val="18"/>
        </w:rPr>
        <w:t xml:space="preserve">Hinweis: Die Zahlen stammen aus dem beigefügten Excel-Finanzmodell. Blau markierte Abschnitte in eckigen Klammern ersetzt du durch deine eigene Begründung und löschst die Klammern.</w:t>
      </w:r>
    </w:p>
    <w:p>
      <w:pPr>
        <w:pStyle w:val="Heading1"/>
      </w:pPr>
      <w:r>
        <w:t xml:space="preserve">7. Bisherige Entwicklung</w:t>
      </w:r>
    </w:p>
    <w:p>
      <w:pPr>
        <w:keepNext/>
        <w:spacing w:before="0" w:after="140" w:line="276" w:lineRule="auto"/>
        <w:jc w:val="both"/>
      </w:pPr>
      <w:r>
        <w:rPr>
          <w:rFonts w:ascii="Arial" w:hAnsi="Arial" w:cs="Arial"/>
          <w:color w:val="1A1A1A"/>
          <w:sz w:val="22"/>
          <w:szCs w:val="22"/>
        </w:rPr>
        <w:t xml:space="preserve">Das Unternehmen hat seinen Umsatz von 1.280.000 € im Jahr 2024 auf 1.360.000 € im Jahr 2025 gesteigert (6,3 % insgesamt). Die Ertragslage stellt sich wie folgt dar:</w:t>
      </w:r>
    </w:p>
    <w:p>
      <w:pPr>
        <w:keepNext/>
        <w:spacing w:after="60"/>
      </w:pPr>
    </w:p>
    <w:tbl>
      <w:tblPr>
        <w:tblW w:w="6600" w:type="dxa"/>
        <w:tblBorders>
          <w:top w:val="single" w:sz="4" w:space="0" w:color="E4E8EC"/>
          <w:left w:val="single" w:sz="4" w:space="0" w:color="E4E8EC"/>
          <w:bottom w:val="single" w:sz="4" w:space="0" w:color="E4E8EC"/>
          <w:right w:val="single" w:sz="4" w:space="0" w:color="E4E8EC"/>
          <w:insideH w:val="single" w:sz="4" w:space="0" w:color="E4E8EC"/>
          <w:insideV w:val="single" w:sz="4" w:space="0" w:color="E4E8EC"/>
        </w:tblBorders>
        <w:tblCellMar>
          <w:left w:w="100" w:type="dxa"/>
          <w:right w:w="100" w:type="dxa"/>
        </w:tblCellMar>
      </w:tblPr>
      <w:tblGrid>
        <w:gridCol w:w="2600"/>
        <w:gridCol w:w="2000"/>
        <w:gridCol w:w="2000"/>
      </w:tblGrid>
      <w:tr>
        <w:trPr>
          <w:cantSplit/>
          <w:tblHeader/>
        </w:trPr>
        <w:tc>
          <w:tcPr>
            <w:tcW w:w="2600" w:type="dxa"/>
            <w:shd w:val="clear" w:color="auto" w:fill="0B2A4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b/>
                <w:color w:val="FFFFFF"/>
                <w:sz w:val="19"/>
                <w:szCs w:val="19"/>
              </w:rPr>
              <w:t xml:space="preserve">Position</w:t>
            </w:r>
          </w:p>
        </w:tc>
        <w:tc>
          <w:tcPr>
            <w:tcW w:w="2000" w:type="dxa"/>
            <w:shd w:val="clear" w:color="auto" w:fill="0B2A4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FFFFFF"/>
                <w:sz w:val="19"/>
                <w:szCs w:val="19"/>
              </w:rPr>
              <w:t xml:space="preserve">Ist 2024</w:t>
            </w:r>
          </w:p>
        </w:tc>
        <w:tc>
          <w:tcPr>
            <w:tcW w:w="2000" w:type="dxa"/>
            <w:shd w:val="clear" w:color="auto" w:fill="0B2A4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FFFFFF"/>
                <w:sz w:val="19"/>
                <w:szCs w:val="19"/>
              </w:rPr>
              <w:t xml:space="preserve">Ist 2025</w:t>
            </w:r>
          </w:p>
        </w:tc>
      </w:tr>
      <w:tr>
        <w:trPr>
          <w:cantSplit/>
        </w:trPr>
        <w:tc>
          <w:tcPr>
            <w:tcW w:w="26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Umsatzerlöse</w:t>
            </w:r>
          </w:p>
        </w:tc>
        <w:tc>
          <w:tcPr>
            <w:tcW w:w="20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1.280.000 €</w:t>
            </w:r>
          </w:p>
        </w:tc>
        <w:tc>
          <w:tcPr>
            <w:tcW w:w="20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1.360.000 €</w:t>
            </w:r>
          </w:p>
        </w:tc>
      </w:tr>
      <w:tr>
        <w:trPr>
          <w:cantSplit/>
        </w:trPr>
        <w:tc>
          <w:tcPr>
            <w:tcW w:w="26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EBITDA</w:t>
            </w:r>
          </w:p>
        </w:tc>
        <w:tc>
          <w:tcPr>
            <w:tcW w:w="20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140.000 €</w:t>
            </w:r>
          </w:p>
        </w:tc>
        <w:tc>
          <w:tcPr>
            <w:tcW w:w="20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165.000 €</w:t>
            </w:r>
          </w:p>
        </w:tc>
      </w:tr>
      <w:tr>
        <w:trPr>
          <w:cantSplit/>
        </w:trPr>
        <w:tc>
          <w:tcPr>
            <w:tcW w:w="26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EBITDA-Marge</w:t>
            </w:r>
          </w:p>
        </w:tc>
        <w:tc>
          <w:tcPr>
            <w:tcW w:w="20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10,9 %</w:t>
            </w:r>
          </w:p>
        </w:tc>
        <w:tc>
          <w:tcPr>
            <w:tcW w:w="20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12,1 %</w:t>
            </w:r>
          </w:p>
        </w:tc>
      </w:tr>
      <w:tr>
        <w:trPr>
          <w:cantSplit/>
        </w:trPr>
        <w:tc>
          <w:tcPr>
            <w:tcW w:w="2600" w:type="dxa"/>
            <w:vAlign w:val="center"/>
          </w:tcPr>
          <w:p>
            <w:pPr>
              <w:spacing w:before="40" w:after="40" w:line="240" w:lineRule="auto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Jahresüberschuss</w:t>
            </w:r>
          </w:p>
        </w:tc>
        <w:tc>
          <w:tcPr>
            <w:tcW w:w="2000" w:type="dxa"/>
            <w:vAlign w:val="center"/>
          </w:tcPr>
          <w:p>
            <w:pPr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57.000 €</w:t>
            </w:r>
          </w:p>
        </w:tc>
        <w:tc>
          <w:tcPr>
            <w:tcW w:w="2000" w:type="dxa"/>
            <w:vAlign w:val="center"/>
          </w:tcPr>
          <w:p>
            <w:pPr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79.000 €</w:t>
            </w:r>
          </w:p>
        </w:tc>
      </w:tr>
    </w:tbl>
    <w:p>
      <w:pPr>
        <w:spacing w:after="200"/>
      </w:pPr>
    </w:p>
    <w:p>
      <w:pPr>
        <w:spacing w:before="0" w:after="140" w:line="276" w:lineRule="auto"/>
        <w:jc w:val="both"/>
      </w:pPr>
      <w:r>
        <w:rPr>
          <w:rFonts w:ascii="Arial" w:hAnsi="Arial" w:cs="Arial"/>
          <w:color w:val="1A1A1A"/>
          <w:sz w:val="22"/>
          <w:szCs w:val="22"/>
        </w:rPr>
        <w:t xml:space="preserve">Die Planung für 2026 schließt mit geplanten Umsatzerlösen von 1.312.196 € an das letzte Ist-Jahr an (-3,5 % gegenüber 2025).</w:t>
      </w:r>
    </w:p>
    <w:p>
      <w:pPr>
        <w:spacing w:before="0" w:after="140" w:line="276" w:lineRule="auto"/>
        <w:jc w:val="both"/>
      </w:pPr>
      <w:r>
        <w:rPr>
          <w:rFonts w:ascii="Arial" w:hAnsi="Arial" w:cs="Arial"/>
          <w:color w:val="33628F"/>
          <w:sz w:val="22"/>
          <w:szCs w:val="22"/>
        </w:rPr>
        <w:t xml:space="preserve">Aktuelle BWA mit Summen- und Saldenliste liegen dem Antrag bei.</w:t>
      </w:r>
    </w:p>
    <w:p>
      <w:pPr>
        <w:spacing w:before="100" w:after="200" w:line="276" w:lineRule="auto"/>
        <w:jc w:val="both"/>
      </w:pPr>
      <w:r>
        <w:rPr>
          <w:rFonts w:ascii="Arial" w:hAnsi="Arial" w:cs="Arial"/>
          <w:color w:val="33628F"/>
          <w:sz w:val="20"/>
          <w:szCs w:val="20"/>
        </w:rPr>
        <w:t xml:space="preserve">[Ergänze hier zwei, drei Sätze zu den wichtigsten Meilensteinen seit Gründung und den Treibern hinter der bisherigen Entwicklung. Zum Beispiel: Seit der Gründung haben wir zwei Gewerbekunden als Rahmenvertragspartner gewonnen und die Werkstattfläche verdoppelt.]</w:t>
      </w:r>
    </w:p>
    <w:p>
      <w:pPr>
        <w:pStyle w:val="Heading1"/>
      </w:pPr>
      <w:r>
        <w:t xml:space="preserve">8. Kapitalbedarf und Finanzierung</w:t>
      </w:r>
    </w:p>
    <w:p>
      <w:pPr>
        <w:spacing w:before="0" w:after="140" w:line="276" w:lineRule="auto"/>
        <w:jc w:val="both"/>
      </w:pPr>
      <w:r>
        <w:rPr>
          <w:rFonts w:ascii="Arial" w:hAnsi="Arial" w:cs="Arial"/>
          <w:color w:val="33628F"/>
          <w:sz w:val="22"/>
          <w:szCs w:val="22"/>
        </w:rPr>
        <w:t xml:space="preserve">Gegenstand des Vorhabens: Modernisierung des Gastraums und Erweiterung um eine Außenterrasse.</w:t>
      </w:r>
    </w:p>
    <w:p>
      <w:pPr>
        <w:spacing w:before="0" w:after="140" w:line="276" w:lineRule="auto"/>
        <w:jc w:val="both"/>
      </w:pPr>
      <w:r>
        <w:rPr>
          <w:rFonts w:ascii="Arial" w:hAnsi="Arial" w:cs="Arial"/>
          <w:color w:val="1A1A1A"/>
          <w:sz w:val="22"/>
          <w:szCs w:val="22"/>
        </w:rPr>
        <w:t xml:space="preserve">Der Finanzierungsbedarf beträgt insgesamt 350.000 €. Davon werden 290.000 € über Fremdkapital finanziert; 60.000 € werden als Eigenmittel eingebracht.</w:t>
      </w:r>
    </w:p>
    <w:p>
      <w:pPr>
        <w:keepNext/>
        <w:spacing w:before="220" w:after="90" w:line="276" w:lineRule="auto"/>
      </w:pPr>
      <w:r>
        <w:rPr>
          <w:rFonts w:ascii="Arial" w:hAnsi="Arial" w:cs="Arial"/>
          <w:b/>
          <w:color w:val="091E32"/>
          <w:sz w:val="24"/>
          <w:szCs w:val="24"/>
        </w:rPr>
        <w:t xml:space="preserve">Mittelverwendung</w:t>
      </w:r>
    </w:p>
    <w:p>
      <w:pPr>
        <w:keepNext/>
        <w:spacing w:after="60"/>
      </w:pPr>
    </w:p>
    <w:tbl>
      <w:tblPr>
        <w:tblW w:w="8600" w:type="dxa"/>
        <w:tblBorders>
          <w:top w:val="single" w:sz="4" w:space="0" w:color="E4E8EC"/>
          <w:left w:val="single" w:sz="4" w:space="0" w:color="E4E8EC"/>
          <w:bottom w:val="single" w:sz="4" w:space="0" w:color="E4E8EC"/>
          <w:right w:val="single" w:sz="4" w:space="0" w:color="E4E8EC"/>
          <w:insideH w:val="single" w:sz="4" w:space="0" w:color="E4E8EC"/>
          <w:insideV w:val="single" w:sz="4" w:space="0" w:color="E4E8EC"/>
        </w:tblBorders>
        <w:tblCellMar>
          <w:left w:w="100" w:type="dxa"/>
          <w:right w:w="100" w:type="dxa"/>
        </w:tblCellMar>
      </w:tblPr>
      <w:tblGrid>
        <w:gridCol w:w="6200"/>
        <w:gridCol w:w="2400"/>
      </w:tblGrid>
      <w:tr>
        <w:trPr>
          <w:cantSplit/>
          <w:tblHeader/>
        </w:trPr>
        <w:tc>
          <w:tcPr>
            <w:tcW w:w="6200" w:type="dxa"/>
            <w:shd w:val="clear" w:color="auto" w:fill="0B2A4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b/>
                <w:color w:val="FFFFFF"/>
                <w:sz w:val="19"/>
                <w:szCs w:val="19"/>
              </w:rPr>
              <w:t xml:space="preserve">Position</w:t>
            </w:r>
          </w:p>
        </w:tc>
        <w:tc>
          <w:tcPr>
            <w:tcW w:w="2400" w:type="dxa"/>
            <w:shd w:val="clear" w:color="auto" w:fill="0B2A4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FFFFFF"/>
                <w:sz w:val="19"/>
                <w:szCs w:val="19"/>
              </w:rPr>
              <w:t xml:space="preserve">Betrag</w:t>
            </w:r>
          </w:p>
        </w:tc>
      </w:tr>
      <w:tr>
        <w:trPr>
          <w:cantSplit/>
        </w:trPr>
        <w:tc>
          <w:tcPr>
            <w:tcW w:w="62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Umbau und Einrichtung Gastraum</w:t>
            </w:r>
          </w:p>
        </w:tc>
        <w:tc>
          <w:tcPr>
            <w:tcW w:w="24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44.000 €</w:t>
            </w:r>
          </w:p>
        </w:tc>
      </w:tr>
      <w:tr>
        <w:trPr>
          <w:cantSplit/>
        </w:trPr>
        <w:tc>
          <w:tcPr>
            <w:tcW w:w="62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Küchentechnik und Kühlung</w:t>
            </w:r>
          </w:p>
        </w:tc>
        <w:tc>
          <w:tcPr>
            <w:tcW w:w="24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56.000 €</w:t>
            </w:r>
          </w:p>
        </w:tc>
      </w:tr>
      <w:tr>
        <w:trPr>
          <w:cantSplit/>
        </w:trPr>
        <w:tc>
          <w:tcPr>
            <w:tcW w:w="62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Lüftungsanlage</w:t>
            </w:r>
          </w:p>
        </w:tc>
        <w:tc>
          <w:tcPr>
            <w:tcW w:w="24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27.000 €</w:t>
            </w:r>
          </w:p>
        </w:tc>
      </w:tr>
      <w:tr>
        <w:trPr>
          <w:cantSplit/>
        </w:trPr>
        <w:tc>
          <w:tcPr>
            <w:tcW w:w="62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Außenterrasse und Möblierung</w:t>
            </w:r>
          </w:p>
        </w:tc>
        <w:tc>
          <w:tcPr>
            <w:tcW w:w="24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11.000 €</w:t>
            </w:r>
          </w:p>
        </w:tc>
      </w:tr>
      <w:tr>
        <w:trPr>
          <w:cantSplit/>
        </w:trPr>
        <w:tc>
          <w:tcPr>
            <w:tcW w:w="62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Kassensystem und Digitalisierung</w:t>
            </w:r>
          </w:p>
        </w:tc>
        <w:tc>
          <w:tcPr>
            <w:tcW w:w="24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39.000 €</w:t>
            </w:r>
          </w:p>
        </w:tc>
      </w:tr>
      <w:tr>
        <w:trPr>
          <w:cantSplit/>
        </w:trPr>
        <w:tc>
          <w:tcPr>
            <w:tcW w:w="62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Einrichtung Gästebereich Obergeschoss</w:t>
            </w:r>
          </w:p>
        </w:tc>
        <w:tc>
          <w:tcPr>
            <w:tcW w:w="24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18.000 €</w:t>
            </w:r>
          </w:p>
        </w:tc>
      </w:tr>
      <w:tr>
        <w:trPr>
          <w:cantSplit/>
        </w:trPr>
        <w:tc>
          <w:tcPr>
            <w:tcW w:w="62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Barbereich und Ausschanktechnik</w:t>
            </w:r>
          </w:p>
        </w:tc>
        <w:tc>
          <w:tcPr>
            <w:tcW w:w="24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9.000 €</w:t>
            </w:r>
          </w:p>
        </w:tc>
      </w:tr>
      <w:tr>
        <w:trPr>
          <w:cantSplit/>
        </w:trPr>
        <w:tc>
          <w:tcPr>
            <w:tcW w:w="62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Beleuchtung und Akustik</w:t>
            </w:r>
          </w:p>
        </w:tc>
        <w:tc>
          <w:tcPr>
            <w:tcW w:w="24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12.000 €</w:t>
            </w:r>
          </w:p>
        </w:tc>
      </w:tr>
      <w:tr>
        <w:trPr>
          <w:cantSplit/>
        </w:trPr>
        <w:tc>
          <w:tcPr>
            <w:tcW w:w="62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Investitionen gesamt</w:t>
            </w:r>
          </w:p>
        </w:tc>
        <w:tc>
          <w:tcPr>
            <w:tcW w:w="24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216.000 €</w:t>
            </w:r>
          </w:p>
        </w:tc>
      </w:tr>
      <w:tr>
        <w:trPr>
          <w:cantSplit/>
        </w:trPr>
        <w:tc>
          <w:tcPr>
            <w:tcW w:w="62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Betriebsmittel und Anlaufphase</w:t>
            </w:r>
          </w:p>
        </w:tc>
        <w:tc>
          <w:tcPr>
            <w:tcW w:w="24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134.000 €</w:t>
            </w:r>
          </w:p>
        </w:tc>
      </w:tr>
      <w:tr>
        <w:trPr>
          <w:cantSplit/>
        </w:trPr>
        <w:tc>
          <w:tcPr>
            <w:tcW w:w="6200" w:type="dxa"/>
            <w:vAlign w:val="center"/>
          </w:tcPr>
          <w:p>
            <w:pPr>
              <w:spacing w:before="40" w:after="40" w:line="240" w:lineRule="auto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Kapitalbedarf gesamt</w:t>
            </w:r>
          </w:p>
        </w:tc>
        <w:tc>
          <w:tcPr>
            <w:tcW w:w="2400" w:type="dxa"/>
            <w:vAlign w:val="center"/>
          </w:tcPr>
          <w:p>
            <w:pPr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350.000 €</w:t>
            </w:r>
          </w:p>
        </w:tc>
      </w:tr>
    </w:tbl>
    <w:p>
      <w:pPr>
        <w:spacing w:after="200"/>
      </w:pPr>
    </w:p>
    <w:p>
      <w:pPr>
        <w:spacing w:before="100" w:after="200" w:line="276" w:lineRule="auto"/>
        <w:jc w:val="both"/>
      </w:pPr>
      <w:r>
        <w:rPr>
          <w:rFonts w:ascii="Arial" w:hAnsi="Arial" w:cs="Arial"/>
          <w:color w:val="33628F"/>
          <w:sz w:val="20"/>
          <w:szCs w:val="20"/>
        </w:rPr>
        <w:t xml:space="preserve">[Optional: Erläutere die zwei, drei größten Investitionspositionen in je einem Satz.]</w:t>
      </w:r>
    </w:p>
    <w:p>
      <w:pPr>
        <w:keepNext/>
        <w:spacing w:before="220" w:after="90" w:line="276" w:lineRule="auto"/>
      </w:pPr>
      <w:r>
        <w:rPr>
          <w:rFonts w:ascii="Arial" w:hAnsi="Arial" w:cs="Arial"/>
          <w:b/>
          <w:color w:val="091E32"/>
          <w:sz w:val="24"/>
          <w:szCs w:val="24"/>
        </w:rPr>
        <w:t xml:space="preserve">Finanzierungsstruktur</w:t>
      </w:r>
    </w:p>
    <w:p>
      <w:pPr>
        <w:keepNext/>
        <w:spacing w:before="0" w:after="140" w:line="276" w:lineRule="auto"/>
        <w:jc w:val="both"/>
      </w:pPr>
      <w:r>
        <w:rPr>
          <w:rFonts w:ascii="Arial" w:hAnsi="Arial" w:cs="Arial"/>
          <w:color w:val="1A1A1A"/>
          <w:sz w:val="22"/>
          <w:szCs w:val="22"/>
        </w:rPr>
        <w:t xml:space="preserve">Die Finanzierung des Vorhabens setzt sich aus den folgenden neuen Bausteinen zusammen:</w:t>
      </w:r>
    </w:p>
    <w:p>
      <w:pPr>
        <w:keepNext/>
        <w:spacing w:after="60"/>
      </w:pPr>
    </w:p>
    <w:tbl>
      <w:tblPr>
        <w:tblW w:w="8900" w:type="dxa"/>
        <w:tblBorders>
          <w:top w:val="single" w:sz="4" w:space="0" w:color="E4E8EC"/>
          <w:left w:val="single" w:sz="4" w:space="0" w:color="E4E8EC"/>
          <w:bottom w:val="single" w:sz="4" w:space="0" w:color="E4E8EC"/>
          <w:right w:val="single" w:sz="4" w:space="0" w:color="E4E8EC"/>
          <w:insideH w:val="single" w:sz="4" w:space="0" w:color="E4E8EC"/>
          <w:insideV w:val="single" w:sz="4" w:space="0" w:color="E4E8EC"/>
        </w:tblBorders>
        <w:tblCellMar>
          <w:left w:w="100" w:type="dxa"/>
          <w:right w:w="100" w:type="dxa"/>
        </w:tblCellMar>
      </w:tblPr>
      <w:tblGrid>
        <w:gridCol w:w="2900"/>
        <w:gridCol w:w="1600"/>
        <w:gridCol w:w="1100"/>
        <w:gridCol w:w="1900"/>
        <w:gridCol w:w="1400"/>
      </w:tblGrid>
      <w:tr>
        <w:trPr>
          <w:cantSplit/>
          <w:tblHeader/>
        </w:trPr>
        <w:tc>
          <w:tcPr>
            <w:tcW w:w="2900" w:type="dxa"/>
            <w:shd w:val="clear" w:color="auto" w:fill="0B2A4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b/>
                <w:color w:val="FFFFFF"/>
                <w:sz w:val="19"/>
                <w:szCs w:val="19"/>
              </w:rPr>
              <w:t xml:space="preserve">Baustein</w:t>
            </w:r>
          </w:p>
        </w:tc>
        <w:tc>
          <w:tcPr>
            <w:tcW w:w="1600" w:type="dxa"/>
            <w:shd w:val="clear" w:color="auto" w:fill="0B2A4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FFFFFF"/>
                <w:sz w:val="19"/>
                <w:szCs w:val="19"/>
              </w:rPr>
              <w:t xml:space="preserve">Betrag</w:t>
            </w:r>
          </w:p>
        </w:tc>
        <w:tc>
          <w:tcPr>
            <w:tcW w:w="1100" w:type="dxa"/>
            <w:shd w:val="clear" w:color="auto" w:fill="0B2A4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FFFFFF"/>
                <w:sz w:val="19"/>
                <w:szCs w:val="19"/>
              </w:rPr>
              <w:t xml:space="preserve">Zins p.a.</w:t>
            </w:r>
          </w:p>
        </w:tc>
        <w:tc>
          <w:tcPr>
            <w:tcW w:w="1900" w:type="dxa"/>
            <w:shd w:val="clear" w:color="auto" w:fill="0B2A4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FFFFFF"/>
                <w:sz w:val="19"/>
                <w:szCs w:val="19"/>
              </w:rPr>
              <w:t xml:space="preserve">Laufzeit</w:t>
            </w:r>
          </w:p>
        </w:tc>
        <w:tc>
          <w:tcPr>
            <w:tcW w:w="1400" w:type="dxa"/>
            <w:shd w:val="clear" w:color="auto" w:fill="0B2A4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FFFFFF"/>
                <w:sz w:val="19"/>
                <w:szCs w:val="19"/>
              </w:rPr>
              <w:t xml:space="preserve">Tilgung</w:t>
            </w:r>
          </w:p>
        </w:tc>
      </w:tr>
      <w:tr>
        <w:trPr>
          <w:cantSplit/>
        </w:trPr>
        <w:tc>
          <w:tcPr>
            <w:tcW w:w="29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Bankdarlehen</w:t>
            </w:r>
          </w:p>
        </w:tc>
        <w:tc>
          <w:tcPr>
            <w:tcW w:w="16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220.000 €</w:t>
            </w:r>
          </w:p>
        </w:tc>
        <w:tc>
          <w:tcPr>
            <w:tcW w:w="11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4,9 %</w:t>
            </w:r>
          </w:p>
        </w:tc>
        <w:tc>
          <w:tcPr>
            <w:tcW w:w="19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7 Jahre (bis 12/2032)</w:t>
            </w:r>
          </w:p>
        </w:tc>
        <w:tc>
          <w:tcPr>
            <w:tcW w:w="14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Annuität</w:t>
            </w:r>
          </w:p>
        </w:tc>
      </w:tr>
      <w:tr>
        <w:trPr>
          <w:cantSplit/>
        </w:trPr>
        <w:tc>
          <w:tcPr>
            <w:tcW w:w="29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KfW-Unternehmerkredit</w:t>
            </w:r>
          </w:p>
        </w:tc>
        <w:tc>
          <w:tcPr>
            <w:tcW w:w="16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70.000 €</w:t>
            </w:r>
          </w:p>
        </w:tc>
        <w:tc>
          <w:tcPr>
            <w:tcW w:w="11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3,6 %</w:t>
            </w:r>
          </w:p>
        </w:tc>
        <w:tc>
          <w:tcPr>
            <w:tcW w:w="19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6 Jahre (bis 12/2031)</w:t>
            </w:r>
          </w:p>
        </w:tc>
        <w:tc>
          <w:tcPr>
            <w:tcW w:w="14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Annuität</w:t>
            </w:r>
          </w:p>
        </w:tc>
      </w:tr>
      <w:tr>
        <w:trPr>
          <w:cantSplit/>
        </w:trPr>
        <w:tc>
          <w:tcPr>
            <w:tcW w:w="29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Eigenmittel</w:t>
            </w:r>
          </w:p>
        </w:tc>
        <w:tc>
          <w:tcPr>
            <w:tcW w:w="16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60.000 €</w:t>
            </w:r>
          </w:p>
        </w:tc>
        <w:tc>
          <w:tcPr>
            <w:tcW w:w="11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/>
            </w:r>
          </w:p>
        </w:tc>
        <w:tc>
          <w:tcPr>
            <w:tcW w:w="19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/>
            </w:r>
          </w:p>
        </w:tc>
        <w:tc>
          <w:tcPr>
            <w:tcW w:w="14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/>
            </w:r>
          </w:p>
        </w:tc>
      </w:tr>
      <w:tr>
        <w:trPr>
          <w:cantSplit/>
        </w:trPr>
        <w:tc>
          <w:tcPr>
            <w:tcW w:w="2900" w:type="dxa"/>
            <w:vAlign w:val="center"/>
          </w:tcPr>
          <w:p>
            <w:pPr>
              <w:spacing w:before="40" w:after="40" w:line="240" w:lineRule="auto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Summe</w:t>
            </w:r>
          </w:p>
        </w:tc>
        <w:tc>
          <w:tcPr>
            <w:tcW w:w="1600" w:type="dxa"/>
            <w:vAlign w:val="center"/>
          </w:tcPr>
          <w:p>
            <w:pPr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350.000 €</w:t>
            </w:r>
          </w:p>
        </w:tc>
        <w:tc>
          <w:tcPr>
            <w:tcW w:w="1100" w:type="dxa"/>
            <w:vAlign w:val="center"/>
          </w:tcPr>
          <w:p>
            <w:pPr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/>
            </w:r>
          </w:p>
        </w:tc>
        <w:tc>
          <w:tcPr>
            <w:tcW w:w="1900" w:type="dxa"/>
            <w:vAlign w:val="center"/>
          </w:tcPr>
          <w:p>
            <w:pPr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/>
            </w:r>
          </w:p>
        </w:tc>
        <w:tc>
          <w:tcPr>
            <w:tcW w:w="1400" w:type="dxa"/>
            <w:vAlign w:val="center"/>
          </w:tcPr>
          <w:p>
            <w:pPr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/>
            </w:r>
          </w:p>
        </w:tc>
      </w:tr>
    </w:tbl>
    <w:p>
      <w:pPr>
        <w:spacing w:after="200"/>
      </w:pPr>
    </w:p>
    <w:p>
      <w:pPr>
        <w:spacing w:before="0" w:after="140" w:line="276" w:lineRule="auto"/>
        <w:jc w:val="both"/>
      </w:pPr>
      <w:r>
        <w:rPr>
          <w:rFonts w:ascii="Arial" w:hAnsi="Arial" w:cs="Arial"/>
          <w:color w:val="1A1A1A"/>
          <w:sz w:val="22"/>
          <w:szCs w:val="22"/>
        </w:rPr>
        <w:t xml:space="preserve">Daneben besteht eine laufende Finanzierung mit einer Restschuld von 95.000 €. Sie ist im Finanzmodell mit Tilgungsplan hinterlegt (Blatt Tilgungspläne) und in der Kapitaldienstrechnung unten vollständig berücksichtigt.</w:t>
      </w:r>
    </w:p>
    <w:p>
      <w:pPr>
        <w:spacing w:before="100" w:after="200" w:line="276" w:lineRule="auto"/>
        <w:jc w:val="both"/>
      </w:pPr>
      <w:r>
        <w:rPr>
          <w:rFonts w:ascii="Arial" w:hAnsi="Arial" w:cs="Arial"/>
          <w:color w:val="33628F"/>
          <w:sz w:val="20"/>
          <w:szCs w:val="20"/>
        </w:rPr>
        <w:t xml:space="preserve">[Optional: Begründe kurz Laufzeiten und Tilgungsstruktur, z. B. Laufzeit folgt der Nutzungsdauer der Investition.]</w:t>
      </w:r>
    </w:p>
    <w:p>
      <w:pPr>
        <w:pStyle w:val="Heading1"/>
      </w:pPr>
      <w:r>
        <w:t xml:space="preserve">9. Finanzplanung</w:t>
      </w:r>
    </w:p>
    <w:p>
      <w:pPr>
        <w:keepNext/>
        <w:spacing w:before="220" w:after="90" w:line="276" w:lineRule="auto"/>
      </w:pPr>
      <w:r>
        <w:rPr>
          <w:rFonts w:ascii="Arial" w:hAnsi="Arial" w:cs="Arial"/>
          <w:b/>
          <w:color w:val="091E32"/>
          <w:sz w:val="24"/>
          <w:szCs w:val="24"/>
        </w:rPr>
        <w:t xml:space="preserve">Rentabilitätsvorschau (Plan-GuV)</w:t>
      </w:r>
    </w:p>
    <w:p>
      <w:pPr>
        <w:spacing w:before="0" w:after="140" w:line="276" w:lineRule="auto"/>
        <w:jc w:val="both"/>
      </w:pPr>
      <w:r>
        <w:rPr>
          <w:rFonts w:ascii="Arial" w:hAnsi="Arial" w:cs="Arial"/>
          <w:color w:val="1A1A1A"/>
          <w:sz w:val="22"/>
          <w:szCs w:val="22"/>
        </w:rPr>
        <w:t xml:space="preserve">Die Umsatzplanung ist von unten hergeleitet: je Umsatzträger aus Preis und Menge, mit einzeln hinterlegten Wachstumsraten. Die größten Umsatzträger im ersten Planjahr sind Restaurantumsatz à la carte mit 229.460 €, Veranstaltungen und Buffets mit 186.480 € und Mittagstisch und Catering mit 170.520 €.</w:t>
      </w:r>
    </w:p>
    <w:p>
      <w:pPr>
        <w:keepNext/>
        <w:spacing w:after="60"/>
      </w:pPr>
    </w:p>
    <w:tbl>
      <w:tblPr>
        <w:tblW w:w="9300" w:type="dxa"/>
        <w:tblBorders>
          <w:top w:val="single" w:sz="4" w:space="0" w:color="E4E8EC"/>
          <w:left w:val="single" w:sz="4" w:space="0" w:color="E4E8EC"/>
          <w:bottom w:val="single" w:sz="4" w:space="0" w:color="E4E8EC"/>
          <w:right w:val="single" w:sz="4" w:space="0" w:color="E4E8EC"/>
          <w:insideH w:val="single" w:sz="4" w:space="0" w:color="E4E8EC"/>
          <w:insideV w:val="single" w:sz="4" w:space="0" w:color="E4E8EC"/>
        </w:tblBorders>
        <w:tblCellMar>
          <w:left w:w="100" w:type="dxa"/>
          <w:right w:w="100" w:type="dxa"/>
        </w:tblCellMar>
      </w:tblPr>
      <w:tblGrid>
        <w:gridCol w:w="3900"/>
        <w:gridCol w:w="1800"/>
        <w:gridCol w:w="1800"/>
        <w:gridCol w:w="1800"/>
      </w:tblGrid>
      <w:tr>
        <w:trPr>
          <w:cantSplit/>
          <w:tblHeader/>
        </w:trPr>
        <w:tc>
          <w:tcPr>
            <w:tcW w:w="3900" w:type="dxa"/>
            <w:shd w:val="clear" w:color="auto" w:fill="0B2A4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b/>
                <w:color w:val="FFFFFF"/>
                <w:sz w:val="19"/>
                <w:szCs w:val="19"/>
              </w:rPr>
              <w:t xml:space="preserve">Position</w:t>
            </w:r>
          </w:p>
        </w:tc>
        <w:tc>
          <w:tcPr>
            <w:tcW w:w="1800" w:type="dxa"/>
            <w:shd w:val="clear" w:color="auto" w:fill="0B2A4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FFFFFF"/>
                <w:sz w:val="19"/>
                <w:szCs w:val="19"/>
              </w:rPr>
              <w:t xml:space="preserve">Plan 2026</w:t>
            </w:r>
          </w:p>
        </w:tc>
        <w:tc>
          <w:tcPr>
            <w:tcW w:w="1800" w:type="dxa"/>
            <w:shd w:val="clear" w:color="auto" w:fill="0B2A4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FFFFFF"/>
                <w:sz w:val="19"/>
                <w:szCs w:val="19"/>
              </w:rPr>
              <w:t xml:space="preserve">Plan 2027</w:t>
            </w:r>
          </w:p>
        </w:tc>
        <w:tc>
          <w:tcPr>
            <w:tcW w:w="1800" w:type="dxa"/>
            <w:shd w:val="clear" w:color="auto" w:fill="0B2A4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FFFFFF"/>
                <w:sz w:val="19"/>
                <w:szCs w:val="19"/>
              </w:rPr>
              <w:t xml:space="preserve">Plan 2028</w:t>
            </w:r>
          </w:p>
        </w:tc>
      </w:tr>
      <w:tr>
        <w:trPr>
          <w:cantSplit/>
        </w:trPr>
        <w:tc>
          <w:tcPr>
            <w:tcW w:w="39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Umsatzerlöse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1.312.196 €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1.545.981 €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1.750.262 €</w:t>
            </w:r>
          </w:p>
        </w:tc>
      </w:tr>
      <w:tr>
        <w:trPr>
          <w:cantSplit/>
        </w:trPr>
        <w:tc>
          <w:tcPr>
            <w:tcW w:w="39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Sonstige betriebliche Erträge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75.000 €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0 €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0 €</w:t>
            </w:r>
          </w:p>
        </w:tc>
      </w:tr>
      <w:tr>
        <w:trPr>
          <w:cantSplit/>
        </w:trPr>
        <w:tc>
          <w:tcPr>
            <w:tcW w:w="39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Materialaufwand / Wareneinsatz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-268.062 €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-315.822 €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-357.554 €</w:t>
            </w:r>
          </w:p>
        </w:tc>
      </w:tr>
      <w:tr>
        <w:trPr>
          <w:cantSplit/>
        </w:trPr>
        <w:tc>
          <w:tcPr>
            <w:tcW w:w="39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Personalaufwand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-653.391 €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-728.409 €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-788.691 €</w:t>
            </w:r>
          </w:p>
        </w:tc>
      </w:tr>
      <w:tr>
        <w:trPr>
          <w:cantSplit/>
        </w:trPr>
        <w:tc>
          <w:tcPr>
            <w:tcW w:w="39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Sonstige betriebliche Aufwendungen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-250.744 €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-274.541 €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-264.507 €</w:t>
            </w:r>
          </w:p>
        </w:tc>
      </w:tr>
      <w:tr>
        <w:trPr>
          <w:cantSplit/>
        </w:trPr>
        <w:tc>
          <w:tcPr>
            <w:tcW w:w="39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EBITDA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214.998 €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227.209 €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339.511 €</w:t>
            </w:r>
          </w:p>
        </w:tc>
      </w:tr>
      <w:tr>
        <w:trPr>
          <w:cantSplit/>
        </w:trPr>
        <w:tc>
          <w:tcPr>
            <w:tcW w:w="39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Abschreibungen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-26.919 €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-45.200 €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-49.725 €</w:t>
            </w:r>
          </w:p>
        </w:tc>
      </w:tr>
      <w:tr>
        <w:trPr>
          <w:cantSplit/>
        </w:trPr>
        <w:tc>
          <w:tcPr>
            <w:tcW w:w="39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Zinsaufwand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-16.323 €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-14.332 €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-11.398 €</w:t>
            </w:r>
          </w:p>
        </w:tc>
      </w:tr>
      <w:tr>
        <w:trPr>
          <w:cantSplit/>
        </w:trPr>
        <w:tc>
          <w:tcPr>
            <w:tcW w:w="39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Steuern (30 %)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-51.527 €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-50.303 €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-83.516 €</w:t>
            </w:r>
          </w:p>
        </w:tc>
      </w:tr>
      <w:tr>
        <w:trPr>
          <w:cantSplit/>
        </w:trPr>
        <w:tc>
          <w:tcPr>
            <w:tcW w:w="3900" w:type="dxa"/>
            <w:vAlign w:val="center"/>
          </w:tcPr>
          <w:p>
            <w:pPr>
              <w:spacing w:before="40" w:after="40" w:line="240" w:lineRule="auto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Jahresüberschuss</w:t>
            </w:r>
          </w:p>
        </w:tc>
        <w:tc>
          <w:tcPr>
            <w:tcW w:w="1800" w:type="dxa"/>
            <w:vAlign w:val="center"/>
          </w:tcPr>
          <w:p>
            <w:pPr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120.229 €</w:t>
            </w:r>
          </w:p>
        </w:tc>
        <w:tc>
          <w:tcPr>
            <w:tcW w:w="1800" w:type="dxa"/>
            <w:vAlign w:val="center"/>
          </w:tcPr>
          <w:p>
            <w:pPr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117.374 €</w:t>
            </w:r>
          </w:p>
        </w:tc>
        <w:tc>
          <w:tcPr>
            <w:tcW w:w="1800" w:type="dxa"/>
            <w:vAlign w:val="center"/>
          </w:tcPr>
          <w:p>
            <w:pPr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194.871 €</w:t>
            </w:r>
          </w:p>
        </w:tc>
      </w:tr>
    </w:tbl>
    <w:p>
      <w:pPr>
        <w:spacing w:after="200"/>
      </w:pPr>
    </w:p>
    <w:p>
      <w:pPr>
        <w:spacing w:before="0" w:after="140" w:line="276" w:lineRule="auto"/>
        <w:jc w:val="both"/>
      </w:pPr>
      <w:r>
        <w:rPr>
          <w:rFonts w:ascii="Arial" w:hAnsi="Arial" w:cs="Arial"/>
          <w:color w:val="1A1A1A"/>
          <w:sz w:val="22"/>
          <w:szCs w:val="22"/>
        </w:rPr>
        <w:t xml:space="preserve">Die Planung ist in allen Planjahren profitabel.</w:t>
      </w:r>
    </w:p>
    <w:p>
      <w:pPr>
        <w:spacing w:before="0" w:after="140" w:line="276" w:lineRule="auto"/>
        <w:jc w:val="both"/>
      </w:pPr>
      <w:r>
        <w:rPr>
          <w:rFonts w:ascii="Arial" w:hAnsi="Arial" w:cs="Arial"/>
          <w:color w:val="33628F"/>
          <w:sz w:val="22"/>
          <w:szCs w:val="22"/>
        </w:rPr>
        <w:t xml:space="preserve">Hinter dem geplanten Wachstum stehen folgende Maßnahmen: Wiedereröffnung nach Umbau mit erweitertem Veranstaltungsgeschäft.</w:t>
      </w:r>
    </w:p>
    <w:p>
      <w:pPr>
        <w:keepNext/>
        <w:spacing w:before="220" w:after="90" w:line="276" w:lineRule="auto"/>
      </w:pPr>
      <w:r>
        <w:rPr>
          <w:rFonts w:ascii="Arial" w:hAnsi="Arial" w:cs="Arial"/>
          <w:b/>
          <w:color w:val="091E32"/>
          <w:sz w:val="24"/>
          <w:szCs w:val="24"/>
        </w:rPr>
        <w:t xml:space="preserve">Liquidität</w:t>
      </w:r>
    </w:p>
    <w:p>
      <w:pPr>
        <w:spacing w:before="0" w:after="140" w:line="276" w:lineRule="auto"/>
        <w:jc w:val="both"/>
      </w:pPr>
      <w:r>
        <w:rPr>
          <w:rFonts w:ascii="Arial" w:hAnsi="Arial" w:cs="Arial"/>
          <w:color w:val="1A1A1A"/>
          <w:sz w:val="22"/>
          <w:szCs w:val="22"/>
        </w:rPr>
        <w:t xml:space="preserve">Der Liquiditätsplan liegt im beigefügten Finanzmodell für das erste Planjahr auf Monatsbasis vor (Blatt Kapitalflussrechnung), einschließlich Umsatzsteuer, Zahlungszielen (5 Tage Forderungslaufzeit, 20 Tage Lieferantenziel) und sämtlicher Tilgungen.</w:t>
      </w:r>
    </w:p>
    <w:p>
      <w:pPr>
        <w:spacing w:before="100" w:after="200" w:line="276" w:lineRule="auto"/>
        <w:jc w:val="both"/>
      </w:pPr>
      <w:r>
        <w:rPr>
          <w:rFonts w:ascii="Arial" w:hAnsi="Arial" w:cs="Arial"/>
          <w:color w:val="33628F"/>
          <w:sz w:val="20"/>
          <w:szCs w:val="20"/>
        </w:rPr>
        <w:t xml:space="preserve">[Optional: Nenne hier deine Liquiditätsreserve oder eine bestehende Kontokorrentlinie.]</w:t>
      </w:r>
    </w:p>
    <w:p>
      <w:pPr>
        <w:keepNext/>
        <w:spacing w:before="220" w:after="90" w:line="276" w:lineRule="auto"/>
      </w:pPr>
      <w:r>
        <w:rPr>
          <w:rFonts w:ascii="Arial" w:hAnsi="Arial" w:cs="Arial"/>
          <w:b/>
          <w:color w:val="091E32"/>
          <w:sz w:val="24"/>
          <w:szCs w:val="24"/>
        </w:rPr>
        <w:t xml:space="preserve">Kapitaldienstfähigkeit</w:t>
      </w:r>
    </w:p>
    <w:p>
      <w:pPr>
        <w:keepNext/>
        <w:spacing w:before="0" w:after="140" w:line="276" w:lineRule="auto"/>
        <w:jc w:val="both"/>
      </w:pPr>
      <w:r>
        <w:rPr>
          <w:rFonts w:ascii="Arial" w:hAnsi="Arial" w:cs="Arial"/>
          <w:color w:val="1A1A1A"/>
          <w:sz w:val="22"/>
          <w:szCs w:val="22"/>
        </w:rPr>
        <w:t xml:space="preserve">Der Kapitaldienst umfasst Zins und Tilgung aller bestehenden und neuen Finanzierungen. Ihm steht der Cashflow vor Kapitaldienst (EBITDA abzüglich Steuern) gegenüber:</w:t>
      </w:r>
    </w:p>
    <w:p>
      <w:pPr>
        <w:keepNext/>
        <w:spacing w:after="60"/>
      </w:pPr>
    </w:p>
    <w:tbl>
      <w:tblPr>
        <w:tblW w:w="9300" w:type="dxa"/>
        <w:tblBorders>
          <w:top w:val="single" w:sz="4" w:space="0" w:color="E4E8EC"/>
          <w:left w:val="single" w:sz="4" w:space="0" w:color="E4E8EC"/>
          <w:bottom w:val="single" w:sz="4" w:space="0" w:color="E4E8EC"/>
          <w:right w:val="single" w:sz="4" w:space="0" w:color="E4E8EC"/>
          <w:insideH w:val="single" w:sz="4" w:space="0" w:color="E4E8EC"/>
          <w:insideV w:val="single" w:sz="4" w:space="0" w:color="E4E8EC"/>
        </w:tblBorders>
        <w:tblCellMar>
          <w:left w:w="100" w:type="dxa"/>
          <w:right w:w="100" w:type="dxa"/>
        </w:tblCellMar>
      </w:tblPr>
      <w:tblGrid>
        <w:gridCol w:w="3900"/>
        <w:gridCol w:w="1800"/>
        <w:gridCol w:w="1800"/>
        <w:gridCol w:w="1800"/>
      </w:tblGrid>
      <w:tr>
        <w:trPr>
          <w:cantSplit/>
          <w:tblHeader/>
        </w:trPr>
        <w:tc>
          <w:tcPr>
            <w:tcW w:w="3900" w:type="dxa"/>
            <w:shd w:val="clear" w:color="auto" w:fill="0B2A4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b/>
                <w:color w:val="FFFFFF"/>
                <w:sz w:val="19"/>
                <w:szCs w:val="19"/>
              </w:rPr>
              <w:t xml:space="preserve">Position</w:t>
            </w:r>
          </w:p>
        </w:tc>
        <w:tc>
          <w:tcPr>
            <w:tcW w:w="1800" w:type="dxa"/>
            <w:shd w:val="clear" w:color="auto" w:fill="0B2A4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FFFFFF"/>
                <w:sz w:val="19"/>
                <w:szCs w:val="19"/>
              </w:rPr>
              <w:t xml:space="preserve">Plan 2026</w:t>
            </w:r>
          </w:p>
        </w:tc>
        <w:tc>
          <w:tcPr>
            <w:tcW w:w="1800" w:type="dxa"/>
            <w:shd w:val="clear" w:color="auto" w:fill="0B2A4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FFFFFF"/>
                <w:sz w:val="19"/>
                <w:szCs w:val="19"/>
              </w:rPr>
              <w:t xml:space="preserve">Plan 2027</w:t>
            </w:r>
          </w:p>
        </w:tc>
        <w:tc>
          <w:tcPr>
            <w:tcW w:w="1800" w:type="dxa"/>
            <w:shd w:val="clear" w:color="auto" w:fill="0B2A4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FFFFFF"/>
                <w:sz w:val="19"/>
                <w:szCs w:val="19"/>
              </w:rPr>
              <w:t xml:space="preserve">Plan 2028</w:t>
            </w:r>
          </w:p>
        </w:tc>
      </w:tr>
      <w:tr>
        <w:trPr>
          <w:cantSplit/>
        </w:trPr>
        <w:tc>
          <w:tcPr>
            <w:tcW w:w="39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Cashflow vor Kapitaldienst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163.472 €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176.906 €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255.994 €</w:t>
            </w:r>
          </w:p>
        </w:tc>
      </w:tr>
      <w:tr>
        <w:trPr>
          <w:cantSplit/>
        </w:trPr>
        <w:tc>
          <w:tcPr>
            <w:tcW w:w="39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Zinsaufwand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16.323 €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14.332 €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11.398 €</w:t>
            </w:r>
          </w:p>
        </w:tc>
      </w:tr>
      <w:tr>
        <w:trPr>
          <w:cantSplit/>
        </w:trPr>
        <w:tc>
          <w:tcPr>
            <w:tcW w:w="39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Tilgung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33.025 €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66.681 €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69.614 €</w:t>
            </w:r>
          </w:p>
        </w:tc>
      </w:tr>
      <w:tr>
        <w:trPr>
          <w:cantSplit/>
        </w:trPr>
        <w:tc>
          <w:tcPr>
            <w:tcW w:w="39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Kapitaldienst gesamt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49.349 €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81.012 €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81.012 €</w:t>
            </w:r>
          </w:p>
        </w:tc>
      </w:tr>
      <w:tr>
        <w:trPr>
          <w:cantSplit/>
        </w:trPr>
        <w:tc>
          <w:tcPr>
            <w:tcW w:w="3900" w:type="dxa"/>
            <w:vAlign w:val="center"/>
          </w:tcPr>
          <w:p>
            <w:pPr>
              <w:spacing w:before="40" w:after="40" w:line="240" w:lineRule="auto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DSCR (Kapitaldienstdeckung)</w:t>
            </w:r>
          </w:p>
        </w:tc>
        <w:tc>
          <w:tcPr>
            <w:tcW w:w="1800" w:type="dxa"/>
            <w:vAlign w:val="center"/>
          </w:tcPr>
          <w:p>
            <w:pPr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3,3</w:t>
            </w:r>
          </w:p>
        </w:tc>
        <w:tc>
          <w:tcPr>
            <w:tcW w:w="1800" w:type="dxa"/>
            <w:vAlign w:val="center"/>
          </w:tcPr>
          <w:p>
            <w:pPr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2,2</w:t>
            </w:r>
          </w:p>
        </w:tc>
        <w:tc>
          <w:tcPr>
            <w:tcW w:w="1800" w:type="dxa"/>
            <w:vAlign w:val="center"/>
          </w:tcPr>
          <w:p>
            <w:pPr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3,2</w:t>
            </w:r>
          </w:p>
        </w:tc>
      </w:tr>
    </w:tbl>
    <w:p>
      <w:pPr>
        <w:spacing w:after="200"/>
      </w:pPr>
    </w:p>
    <w:p>
      <w:pPr>
        <w:spacing w:before="0" w:after="140" w:line="276" w:lineRule="auto"/>
        <w:jc w:val="both"/>
      </w:pPr>
      <w:r>
        <w:rPr>
          <w:rFonts w:ascii="Arial" w:hAnsi="Arial" w:cs="Arial"/>
          <w:color w:val="1A1A1A"/>
          <w:sz w:val="22"/>
          <w:szCs w:val="22"/>
        </w:rPr>
        <w:t xml:space="preserve">Der Kapitaldienst ist in jedem Planjahr aus dem laufenden Geschäft gedeckt; der niedrigste Deckungsgrad der Planperiode beträgt 2,2 im Jahr 2027.</w:t>
      </w:r>
    </w:p>
    <w:p>
      <w:pPr>
        <w:spacing w:before="0" w:after="140" w:line="276" w:lineRule="auto"/>
        <w:jc w:val="both"/>
      </w:pPr>
      <w:r>
        <w:rPr>
          <w:rFonts w:ascii="Arial" w:hAnsi="Arial" w:cs="Arial"/>
          <w:color w:val="1A1A1A"/>
          <w:sz w:val="22"/>
          <w:szCs w:val="22"/>
        </w:rPr>
        <w:t xml:space="preserve">Nach Ende der tilgungsfreien Zeit des Hauptdarlehens steigt die Tilgung; die Deckung bleibt auch danach über 1,0.</w:t>
      </w:r>
    </w:p>
    <w:p>
      <w:pPr>
        <w:keepNext/>
        <w:spacing w:before="220" w:after="90" w:line="276" w:lineRule="auto"/>
      </w:pPr>
      <w:r>
        <w:rPr>
          <w:rFonts w:ascii="Arial" w:hAnsi="Arial" w:cs="Arial"/>
          <w:b/>
          <w:color w:val="091E32"/>
          <w:sz w:val="24"/>
          <w:szCs w:val="24"/>
        </w:rPr>
        <w:t xml:space="preserve">Szenarien</w:t>
      </w:r>
    </w:p>
    <w:p>
      <w:pPr>
        <w:spacing w:before="0" w:after="140" w:line="276" w:lineRule="auto"/>
        <w:jc w:val="both"/>
      </w:pPr>
      <w:r>
        <w:rPr>
          <w:rFonts w:ascii="Arial" w:hAnsi="Arial" w:cs="Arial"/>
          <w:color w:val="1A1A1A"/>
          <w:sz w:val="22"/>
          <w:szCs w:val="22"/>
        </w:rPr>
        <w:t xml:space="preserve">Das Finanzmodell enthält eine Szenariorechnung auf dem Blatt Szenarien. Im Worst Case sind 25,0 % weniger Umsatz und 15,0 % höhere Kosten unterstellt, im Best Case 18,0 % mehr Umsatz und 10,0 % niedrigere Kosten.</w:t>
      </w:r>
    </w:p>
    <w:p>
      <w:pPr>
        <w:spacing w:before="0" w:after="140" w:line="276" w:lineRule="auto"/>
        <w:jc w:val="both"/>
      </w:pPr>
      <w:r>
        <w:rPr>
          <w:rFonts w:ascii="Arial" w:hAnsi="Arial" w:cs="Arial"/>
          <w:color w:val="33628F"/>
          <w:sz w:val="22"/>
          <w:szCs w:val="22"/>
        </w:rPr>
        <w:t xml:space="preserve">Gegensteuerung im Worst Case: Die zweite Umbaustufe wird verschoben, der Wareneinsatz wird über Menükalkulation nachgesteuert.</w:t>
      </w:r>
    </w:p>
    <w:sectPr>
      <w:footerReference w:type="default" r:id="rId3"/>
      <w:pgSz w:w="11906" w:h="16838"/>
      <w:pgMar w:top="1134" w:right="1134" w:bottom="1134" w:left="1417" w:header="708" w:footer="450" w:gutter="0"/>
    </w:sectPr>
  </w:body>
</w:document>
</file>

<file path=word/footer2.xml><?xml version="1.0" encoding="utf-8"?>
<w:ftr xmlns:w="http://schemas.openxmlformats.org/wordprocessingml/2006/main">
  <w:p>
    <w:pPr>
      <w:jc w:val="center"/>
      <w:spacing w:after="0"/>
    </w:pPr>
    <w:r>
      <w:rPr>
        <w:rFonts w:ascii="Arial" w:hAnsi="Arial" w:cs="Arial"/>
        <w:color w:val="5A6672"/>
        <w:sz w:val="18"/>
        <w:szCs w:val="18"/>
      </w:rPr>
      <w:t xml:space="preserve">Finanzteil Bergwald Gastro GmbH · erstellt mit Planvik · Seite </w:t>
    </w:r>
    <w:r>
      <w:rPr>
        <w:rFonts w:ascii="Arial" w:hAnsi="Arial" w:cs="Arial"/>
        <w:color w:val="5A6672"/>
        <w:sz w:val="18"/>
        <w:szCs w:val="18"/>
      </w:rPr>
      <w:fldChar w:fldCharType="begin"/>
    </w:r>
    <w:r>
      <w:rPr>
        <w:rFonts w:ascii="Arial" w:hAnsi="Arial" w:cs="Arial"/>
        <w:color w:val="5A6672"/>
        <w:sz w:val="18"/>
        <w:szCs w:val="18"/>
      </w:rPr>
      <w:instrText xml:space="preserve"> PAGE </w:instrText>
    </w:r>
    <w:r>
      <w:rPr>
        <w:rFonts w:ascii="Arial" w:hAnsi="Arial" w:cs="Arial"/>
        <w:color w:val="5A6672"/>
        <w:sz w:val="18"/>
        <w:szCs w:val="18"/>
      </w:rPr>
      <w:fldChar w:fldCharType="separate"/>
    </w:r>
    <w:r>
      <w:rPr>
        <w:rFonts w:ascii="Arial" w:hAnsi="Arial" w:cs="Arial"/>
        <w:color w:val="5A6672"/>
        <w:sz w:val="18"/>
        <w:szCs w:val="18"/>
      </w:rPr>
      <w:t>1</w:t>
    </w:r>
    <w:r>
      <w:rPr>
        <w:rFonts w:ascii="Arial" w:hAnsi="Arial" w:cs="Arial"/>
        <w:color w:val="5A6672"/>
        <w:sz w:val="18"/>
        <w:szCs w:val="18"/>
      </w:rPr>
      <w:fldChar w:fldCharType="end"/>
    </w:r>
  </w:p>
</w:ftr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color w:val="1A1A1A"/>
        <w:sz w:val="22"/>
        <w:szCs w:val="22"/>
      </w:rPr>
    </w:rPrDefault>
    <w:pPrDefault>
      <w:pPr>
        <w:spacing w:after="120" w:line="276" w:lineRule="auto"/>
      </w:pPr>
    </w:pPrDefault>
  </w:docDefaults>
  <w:style w:type="paragraph" w:default="1" w:styleId="Normal">
    <w:name w:val="Normal"/>
  </w:style>
  <w:style w:type="paragraph" w:styleId="Heading1">
    <w:name w:val="heading 1"/>
    <w:basedOn w:val="Normal"/>
    <w:pPr>
      <w:keepNext/>
      <w:spacing w:before="360" w:after="160"/>
      <w:outlineLvl w:val="0"/>
    </w:pPr>
    <w:rPr>
      <w:rFonts w:ascii="Arial" w:hAnsi="Arial" w:cs="Arial"/>
      <w:b/>
      <w:color w:val="091E32"/>
      <w:sz w:val="28"/>
      <w:szCs w:val="28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Relationship Id="rId3" Type="http://schemas.openxmlformats.org/officeDocument/2006/relationships/footer" Target="footer2.xml"/></Relationships>
</file>